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5D4115" w:rsidRDefault="005D4115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協辦單位：桃園巿立建國國民中學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D411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016E1">
        <w:rPr>
          <w:rFonts w:ascii="標楷體" w:eastAsia="標楷體" w:hAnsi="標楷體"/>
          <w:b/>
          <w:bCs/>
          <w:color w:val="000000"/>
          <w:sz w:val="32"/>
          <w:szCs w:val="28"/>
        </w:rPr>
        <w:br/>
      </w:r>
      <w:r w:rsidR="000872EC" w:rsidRPr="000872EC">
        <w:rPr>
          <w:rFonts w:ascii="標楷體" w:eastAsia="標楷體" w:hAnsi="標楷體"/>
          <w:b/>
          <w:bCs/>
          <w:color w:val="000000"/>
          <w:sz w:val="32"/>
          <w:szCs w:val="28"/>
        </w:rPr>
        <w:t>[大成科技中心][師資培訓][國九生科]生活科技線上實作共備工作坊(3)</w:t>
      </w:r>
      <w:r w:rsidR="007016E1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BA2E21">
        <w:rPr>
          <w:rFonts w:ascii="標楷體" w:eastAsia="標楷體" w:hAnsi="標楷體"/>
          <w:color w:val="000000"/>
          <w:sz w:val="24"/>
        </w:rPr>
        <w:t>25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A2E21">
        <w:rPr>
          <w:rFonts w:ascii="標楷體" w:eastAsia="標楷體" w:hAnsi="標楷體"/>
          <w:color w:val="000000"/>
          <w:sz w:val="24"/>
        </w:rPr>
        <w:t>2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A2E21">
        <w:rPr>
          <w:rFonts w:ascii="標楷體" w:eastAsia="標楷體" w:hAnsi="標楷體"/>
          <w:color w:val="000000"/>
          <w:sz w:val="24"/>
        </w:rPr>
        <w:t>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A2E21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A2E2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022C5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BA2E21" w:rsidRPr="00371A56">
        <w:rPr>
          <w:rFonts w:ascii="標楷體" w:eastAsia="標楷體" w:hAnsi="標楷體" w:hint="eastAsia"/>
          <w:b/>
          <w:color w:val="FF0000"/>
        </w:rPr>
        <w:t>線上研習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FA7197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FA7197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22C51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32" w:type="dxa"/>
            <w:vMerge w:val="restart"/>
            <w:vAlign w:val="center"/>
          </w:tcPr>
          <w:p w:rsidR="00022C51" w:rsidRPr="00561CFD" w:rsidRDefault="00022C51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22C51">
              <w:rPr>
                <w:rFonts w:ascii="標楷體" w:eastAsia="標楷體" w:hAnsi="標楷體"/>
                <w:color w:val="000000"/>
              </w:rPr>
              <w:t>[師資培訓]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[國九生科]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生活科技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線上實作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共備工作坊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(3)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7016E1" w:rsidRDefault="007016E1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九年級第二學期生活科技實作共備</w:t>
            </w:r>
          </w:p>
          <w:p w:rsidR="00E53E59" w:rsidRPr="00561CFD" w:rsidRDefault="005E02C3" w:rsidP="005E02C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以線控車結合紅外線遙控為例。</w:t>
            </w:r>
          </w:p>
        </w:tc>
        <w:tc>
          <w:tcPr>
            <w:tcW w:w="2255" w:type="dxa"/>
            <w:vMerge w:val="restart"/>
          </w:tcPr>
          <w:p w:rsidR="00080DE5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 w:hint="eastAsia"/>
                <w:color w:val="000000"/>
              </w:rPr>
              <w:t>線上研習</w:t>
            </w:r>
            <w:r w:rsidRPr="00080DE5">
              <w:rPr>
                <w:rFonts w:ascii="標楷體" w:eastAsia="標楷體" w:hAnsi="標楷體"/>
                <w:color w:val="000000"/>
              </w:rPr>
              <w:t xml:space="preserve">-請同時至 </w:t>
            </w:r>
            <w:hyperlink r:id="rId9" w:history="1">
              <w:r w:rsidR="00080DE5" w:rsidRPr="00080DE5">
                <w:rPr>
                  <w:rStyle w:val="ae"/>
                  <w:rFonts w:ascii="標楷體" w:eastAsia="標楷體" w:hAnsi="標楷體"/>
                </w:rPr>
                <w:t>https://forms.gle/4uDzxPtUSfjaoppK8</w:t>
              </w:r>
            </w:hyperlink>
          </w:p>
          <w:p w:rsidR="007016E1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/>
                <w:color w:val="000000"/>
              </w:rPr>
              <w:t>登記,始完成報名</w:t>
            </w:r>
          </w:p>
          <w:p w:rsidR="0088253C" w:rsidRPr="0088253C" w:rsidRDefault="00FA7197" w:rsidP="005E02C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3763B" w:rsidRPr="0033763B">
              <w:rPr>
                <w:rFonts w:ascii="標楷體" w:eastAsia="標楷體" w:hAnsi="標楷體" w:hint="eastAsia"/>
                <w:color w:val="000000"/>
              </w:rPr>
              <w:t>J00041-220100003</w:t>
            </w:r>
            <w:r w:rsidR="0088253C" w:rsidRPr="0033763B">
              <w:rPr>
                <w:rFonts w:ascii="標楷體" w:eastAsia="標楷體" w:hAnsi="標楷體"/>
                <w:color w:val="000000"/>
              </w:rPr>
              <w:t xml:space="preserve"> </w:t>
            </w:r>
            <w:r w:rsidR="0033763B">
              <w:rPr>
                <w:rFonts w:ascii="標楷體" w:eastAsia="標楷體" w:hAnsi="標楷體"/>
                <w:color w:val="000000"/>
              </w:rPr>
              <w:br/>
            </w:r>
            <w:r w:rsidR="0033763B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20100003_QRco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60401A" w:rsidRDefault="0088253C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素養導向教學設計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8253C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88253C" w:rsidRPr="00E53E59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40-17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3829" w:type="dxa"/>
            <w:vAlign w:val="center"/>
          </w:tcPr>
          <w:p w:rsidR="0088253C" w:rsidRPr="007016E1" w:rsidRDefault="0088253C" w:rsidP="0088253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線控車實作</w:t>
            </w:r>
          </w:p>
        </w:tc>
        <w:tc>
          <w:tcPr>
            <w:tcW w:w="2255" w:type="dxa"/>
            <w:vMerge/>
          </w:tcPr>
          <w:p w:rsidR="0088253C" w:rsidRDefault="0088253C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561CFD" w:rsidRDefault="0088253C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紅外線遙控延伸課程說明、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素養導向評量規劃、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停課不停學線上教學方案共備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3662FB" w:rsidP="003662F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3662F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設s-IV-2能運用基本工具進行材料處理與組裝。</w:t>
            </w:r>
          </w:p>
          <w:p w:rsidR="00C409E3" w:rsidRPr="00A143F5" w:rsidRDefault="00C409E3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C409E3">
              <w:rPr>
                <w:rFonts w:ascii="標楷體" w:eastAsia="標楷體" w:hAnsi="標楷體"/>
              </w:rPr>
              <w:t>設k-IV-2能了解科技產品的基本原理、發展歷程、與創新關鍵。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97F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教師研習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] </w:t>
      </w:r>
      <w:r w:rsidR="00B1296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無人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載具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模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擬教育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系統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DF6BF6">
        <w:rPr>
          <w:rFonts w:ascii="標楷體" w:eastAsia="標楷體" w:hAnsi="標楷體" w:hint="eastAsia"/>
          <w:color w:val="000000"/>
          <w:sz w:val="24"/>
        </w:rPr>
        <w:t>、小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F6BF6">
        <w:rPr>
          <w:rFonts w:ascii="標楷體" w:eastAsia="標楷體" w:hAnsi="標楷體"/>
          <w:color w:val="000000"/>
          <w:sz w:val="24"/>
        </w:rPr>
        <w:t>2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DF6BF6">
        <w:rPr>
          <w:rFonts w:ascii="標楷體" w:eastAsia="標楷體" w:hAnsi="標楷體"/>
          <w:color w:val="000000"/>
          <w:sz w:val="24"/>
        </w:rPr>
        <w:t>23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DF6BF6">
        <w:rPr>
          <w:rFonts w:ascii="標楷體" w:eastAsia="標楷體" w:hAnsi="標楷體" w:hint="eastAsia"/>
          <w:color w:val="000000"/>
          <w:sz w:val="24"/>
        </w:rPr>
        <w:t>三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F6BF6">
        <w:rPr>
          <w:rFonts w:ascii="標楷體" w:eastAsia="標楷體" w:hAnsi="標楷體" w:hint="eastAsia"/>
          <w:color w:val="000000"/>
          <w:sz w:val="24"/>
        </w:rPr>
        <w:t>先創國際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F6BF6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/>
                <w:color w:val="000000"/>
              </w:rPr>
              <w:t>[</w:t>
            </w:r>
            <w:r w:rsidRPr="007160BB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160BB">
              <w:rPr>
                <w:rFonts w:ascii="標楷體" w:eastAsia="標楷體" w:hAnsi="標楷體"/>
                <w:color w:val="000000"/>
              </w:rPr>
              <w:t>]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無人載具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模擬</w:t>
            </w:r>
          </w:p>
          <w:p w:rsidR="00D42004" w:rsidRPr="00561CFD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教育系統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817620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</w:t>
            </w:r>
            <w:r w:rsidR="00817620" w:rsidRPr="00817620">
              <w:rPr>
                <w:rFonts w:ascii="標楷體" w:eastAsia="標楷體" w:hAnsi="標楷體" w:hint="eastAsia"/>
                <w:color w:val="000000"/>
              </w:rPr>
              <w:t>00041-220200001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恕不提供停車位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="00B210F2" w:rsidRPr="00817620">
              <w:rPr>
                <w:rFonts w:ascii="標楷體" w:eastAsia="標楷體" w:hAnsi="標楷體"/>
                <w:color w:val="000000"/>
              </w:rPr>
              <w:t>.</w:t>
            </w:r>
            <w:r w:rsidRPr="00817620">
              <w:rPr>
                <w:rFonts w:ascii="標楷體" w:eastAsia="標楷體" w:hAnsi="標楷體" w:hint="eastAsia"/>
                <w:color w:val="000000"/>
              </w:rPr>
              <w:t>近期因疫情難以捉摸</w:t>
            </w:r>
            <w:r w:rsidRPr="00817620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>研習系統,太難聯絡報名老師,所以麻煩大家,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 xml:space="preserve">留個資料,以利後續作業 </w:t>
            </w:r>
            <w:hyperlink r:id="rId11" w:history="1">
              <w:r w:rsidRPr="00185295">
                <w:rPr>
                  <w:rStyle w:val="ae"/>
                  <w:rFonts w:ascii="標楷體" w:eastAsia="標楷體" w:hAnsi="標楷體"/>
                </w:rPr>
                <w:t>http://gg.gg/xqtvs</w:t>
              </w:r>
            </w:hyperlink>
          </w:p>
          <w:p w:rsidR="00817620" w:rsidRPr="00817620" w:rsidRDefault="00817620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20200001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7160BB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無人載具</w:t>
            </w:r>
            <w:r w:rsidR="00B12965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7160BB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模擬教育系統操作</w:t>
            </w:r>
          </w:p>
          <w:p w:rsidR="00230D63" w:rsidRPr="00230D63" w:rsidRDefault="00230D63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30D63">
              <w:rPr>
                <w:rFonts w:ascii="標楷體" w:eastAsia="標楷體" w:hAnsi="標楷體"/>
                <w:color w:val="000000"/>
              </w:rPr>
              <w:t>-</w:t>
            </w:r>
            <w:r w:rsidRPr="00230D63">
              <w:rPr>
                <w:rFonts w:ascii="標楷體" w:eastAsia="標楷體" w:hAnsi="標楷體" w:hint="eastAsia"/>
                <w:color w:val="000000"/>
              </w:rPr>
              <w:t>以機甲大師為主軸進行操作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Default="007A0A56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0608EE" w:rsidRPr="00A60BEA" w:rsidRDefault="0090118D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90118D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資H-IV-6資訊科技對人類生活之影響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537" w:rsidRDefault="00AB6537" w:rsidP="00AD01F4">
      <w:r>
        <w:separator/>
      </w:r>
    </w:p>
  </w:endnote>
  <w:endnote w:type="continuationSeparator" w:id="0">
    <w:p w:rsidR="00AB6537" w:rsidRDefault="00AB6537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537" w:rsidRDefault="00AB6537" w:rsidP="00AD01F4">
      <w:r>
        <w:separator/>
      </w:r>
    </w:p>
  </w:footnote>
  <w:footnote w:type="continuationSeparator" w:id="0">
    <w:p w:rsidR="00AB6537" w:rsidRDefault="00AB6537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7B4A2CE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1717F"/>
    <w:rsid w:val="00022C51"/>
    <w:rsid w:val="00035B7B"/>
    <w:rsid w:val="00050D4E"/>
    <w:rsid w:val="000608EE"/>
    <w:rsid w:val="000655F7"/>
    <w:rsid w:val="000704EC"/>
    <w:rsid w:val="00070FA2"/>
    <w:rsid w:val="00072185"/>
    <w:rsid w:val="00080DE5"/>
    <w:rsid w:val="000841B0"/>
    <w:rsid w:val="000872EC"/>
    <w:rsid w:val="00091DC4"/>
    <w:rsid w:val="000A7A3D"/>
    <w:rsid w:val="000D5359"/>
    <w:rsid w:val="000E02C5"/>
    <w:rsid w:val="000E3FC4"/>
    <w:rsid w:val="00102FD1"/>
    <w:rsid w:val="00106768"/>
    <w:rsid w:val="00115C20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30D63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3763B"/>
    <w:rsid w:val="00350183"/>
    <w:rsid w:val="003538F2"/>
    <w:rsid w:val="00365A02"/>
    <w:rsid w:val="003662FB"/>
    <w:rsid w:val="00366CE9"/>
    <w:rsid w:val="00367894"/>
    <w:rsid w:val="00371A56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D4115"/>
    <w:rsid w:val="005E02C3"/>
    <w:rsid w:val="005F57D7"/>
    <w:rsid w:val="005F5CDB"/>
    <w:rsid w:val="0060401A"/>
    <w:rsid w:val="00634C59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16E1"/>
    <w:rsid w:val="00703364"/>
    <w:rsid w:val="00712234"/>
    <w:rsid w:val="007160BB"/>
    <w:rsid w:val="00720256"/>
    <w:rsid w:val="00723DDC"/>
    <w:rsid w:val="007343D6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17620"/>
    <w:rsid w:val="00826769"/>
    <w:rsid w:val="00831B36"/>
    <w:rsid w:val="00840A36"/>
    <w:rsid w:val="008437CC"/>
    <w:rsid w:val="008551F2"/>
    <w:rsid w:val="0088253C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18D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25154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B6537"/>
    <w:rsid w:val="00AD01F4"/>
    <w:rsid w:val="00AD4F88"/>
    <w:rsid w:val="00AF3775"/>
    <w:rsid w:val="00B12965"/>
    <w:rsid w:val="00B210F2"/>
    <w:rsid w:val="00B256A2"/>
    <w:rsid w:val="00B27881"/>
    <w:rsid w:val="00B27CBB"/>
    <w:rsid w:val="00B4504B"/>
    <w:rsid w:val="00B60189"/>
    <w:rsid w:val="00B760A2"/>
    <w:rsid w:val="00B84381"/>
    <w:rsid w:val="00B97F84"/>
    <w:rsid w:val="00BA2E2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09E3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A442C"/>
    <w:rsid w:val="00DB15FD"/>
    <w:rsid w:val="00DD3AF3"/>
    <w:rsid w:val="00DD3B47"/>
    <w:rsid w:val="00DE4BBB"/>
    <w:rsid w:val="00DF3BC5"/>
    <w:rsid w:val="00DF6BF6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g.gg/xqtv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4uDzxPtUSfjaoppK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2B95-D70B-4744-8417-281251A3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1714</Characters>
  <Application>Microsoft Office Word</Application>
  <DocSecurity>0</DocSecurity>
  <Lines>14</Lines>
  <Paragraphs>4</Paragraphs>
  <ScaleCrop>false</ScaleCrop>
  <Company>1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2022-02-09T00:47:00Z</dcterms:created>
  <dcterms:modified xsi:type="dcterms:W3CDTF">2022-02-09T00:47:00Z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