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130E" w14:textId="77777777" w:rsidR="00C96F41" w:rsidRDefault="00C96F41" w:rsidP="00C96F41">
      <w:pPr>
        <w:pStyle w:val="Web"/>
        <w:spacing w:before="0" w:beforeAutospacing="0" w:line="432" w:lineRule="atLeast"/>
        <w:rPr>
          <w:rFonts w:ascii="Noto Sans TC" w:eastAsia="Noto Sans TC" w:hAnsi="Noto Sans TC"/>
          <w:color w:val="202020"/>
        </w:rPr>
      </w:pPr>
      <w:bookmarkStart w:id="0" w:name="_GoBack"/>
      <w:r>
        <w:rPr>
          <w:rStyle w:val="a3"/>
          <w:rFonts w:ascii="Noto Sans TC" w:eastAsia="Noto Sans TC" w:hAnsi="Noto Sans TC" w:hint="eastAsia"/>
          <w:color w:val="202020"/>
        </w:rPr>
        <w:t>命題及審題機制</w:t>
      </w:r>
      <w:bookmarkEnd w:id="0"/>
      <w:r>
        <w:rPr>
          <w:rStyle w:val="a3"/>
          <w:rFonts w:ascii="Noto Sans TC" w:eastAsia="Noto Sans TC" w:hAnsi="Noto Sans TC" w:hint="eastAsia"/>
          <w:color w:val="202020"/>
        </w:rPr>
        <w:t>訂定</w:t>
      </w:r>
    </w:p>
    <w:p w14:paraId="17B1FB7F" w14:textId="019447F7" w:rsidR="00C96F41" w:rsidRDefault="00C96F41" w:rsidP="00C96F41">
      <w:pPr>
        <w:pStyle w:val="Web"/>
        <w:spacing w:before="0" w:beforeAutospacing="0" w:line="432" w:lineRule="atLeast"/>
        <w:rPr>
          <w:rFonts w:ascii="Noto Sans TC" w:eastAsia="Noto Sans TC" w:hAnsi="Noto Sans TC"/>
          <w:color w:val="202020"/>
        </w:rPr>
      </w:pPr>
      <w:r>
        <w:rPr>
          <w:rStyle w:val="a3"/>
          <w:rFonts w:ascii="Noto Sans TC" w:eastAsia="Noto Sans TC" w:hAnsi="Noto Sans TC" w:hint="eastAsia"/>
          <w:color w:val="202020"/>
        </w:rPr>
        <w:t>1.命題原則:</w:t>
      </w:r>
    </w:p>
    <w:p w14:paraId="2209F0E9" w14:textId="77777777" w:rsidR="00C96F41" w:rsidRDefault="00C96F41" w:rsidP="004109EF">
      <w:pPr>
        <w:pStyle w:val="Web"/>
        <w:spacing w:before="0" w:beforeAutospacing="0" w:after="0" w:afterAutospacing="0" w:line="432" w:lineRule="atLeast"/>
        <w:ind w:firstLineChars="100" w:firstLine="240"/>
        <w:rPr>
          <w:rFonts w:ascii="Noto Sans TC" w:eastAsia="Noto Sans TC" w:hAnsi="Noto Sans TC"/>
          <w:color w:val="202020"/>
        </w:rPr>
      </w:pPr>
      <w:r w:rsidRPr="004109EF">
        <w:rPr>
          <w:rFonts w:ascii="Noto Sans TC" w:eastAsia="Noto Sans TC" w:hAnsi="Noto Sans TC"/>
          <w:color w:val="202020"/>
        </w:rPr>
        <w:t>(1)</w:t>
      </w:r>
      <w:r w:rsidRPr="004109EF">
        <w:rPr>
          <w:rFonts w:ascii="Noto Sans TC" w:eastAsia="Noto Sans TC" w:hAnsi="Noto Sans TC" w:hint="eastAsia"/>
          <w:color w:val="202020"/>
        </w:rPr>
        <w:t>定期評量時應落實審</w:t>
      </w:r>
      <w:r w:rsidRPr="004109EF">
        <w:rPr>
          <w:rFonts w:ascii="Noto Sans TC" w:eastAsia="Noto Sans TC" w:hAnsi="Noto Sans TC"/>
          <w:color w:val="202020"/>
        </w:rPr>
        <w:t> </w:t>
      </w:r>
      <w:r w:rsidRPr="004109EF">
        <w:rPr>
          <w:rFonts w:ascii="Noto Sans TC" w:eastAsia="Noto Sans TC" w:hAnsi="Noto Sans TC" w:hint="eastAsia"/>
          <w:color w:val="202020"/>
        </w:rPr>
        <w:t>題機制及迴避原則，   並確實掌握評量之品質。</w:t>
      </w:r>
    </w:p>
    <w:p w14:paraId="726BCFD7" w14:textId="77777777" w:rsidR="00C96F41" w:rsidRDefault="00C96F41" w:rsidP="004109EF">
      <w:pPr>
        <w:pStyle w:val="Web"/>
        <w:spacing w:before="0" w:beforeAutospacing="0" w:after="0" w:afterAutospacing="0" w:line="432" w:lineRule="atLeast"/>
        <w:ind w:rightChars="-100" w:right="-240" w:firstLineChars="100" w:firstLine="240"/>
        <w:rPr>
          <w:rFonts w:ascii="Noto Sans TC" w:eastAsia="Noto Sans TC" w:hAnsi="Noto Sans TC"/>
          <w:color w:val="202020"/>
        </w:rPr>
      </w:pPr>
      <w:r w:rsidRPr="004109EF">
        <w:rPr>
          <w:rFonts w:ascii="Noto Sans TC" w:eastAsia="Noto Sans TC" w:hAnsi="Noto Sans TC"/>
          <w:color w:val="202020"/>
        </w:rPr>
        <w:t>(2)</w:t>
      </w:r>
      <w:r w:rsidRPr="004109EF">
        <w:rPr>
          <w:rFonts w:ascii="Noto Sans TC" w:eastAsia="Noto Sans TC" w:hAnsi="Noto Sans TC" w:hint="eastAsia"/>
          <w:color w:val="202020"/>
        </w:rPr>
        <w:t>於定期評量落實審題機制，並應考量評  量目標、難易適中、命題合宜性。</w:t>
      </w:r>
    </w:p>
    <w:p w14:paraId="2D1169F6" w14:textId="77777777" w:rsidR="00C96F41" w:rsidRDefault="00C96F41" w:rsidP="004109EF">
      <w:pPr>
        <w:pStyle w:val="Web"/>
        <w:spacing w:before="0" w:beforeAutospacing="0" w:after="0" w:afterAutospacing="0" w:line="432" w:lineRule="atLeast"/>
        <w:ind w:firstLineChars="100" w:firstLine="240"/>
        <w:rPr>
          <w:rFonts w:ascii="Noto Sans TC" w:eastAsia="Noto Sans TC" w:hAnsi="Noto Sans TC"/>
          <w:color w:val="202020"/>
        </w:rPr>
      </w:pPr>
      <w:r>
        <w:rPr>
          <w:rFonts w:ascii="Noto Sans TC" w:eastAsia="Noto Sans TC" w:hAnsi="Noto Sans TC" w:hint="eastAsia"/>
          <w:color w:val="202020"/>
        </w:rPr>
        <w:t>(3)勿直接採用教科用書出版公司之試題及、沿用歷屆或他校考題。</w:t>
      </w:r>
    </w:p>
    <w:p w14:paraId="101AC9C7" w14:textId="77777777" w:rsidR="00C96F41" w:rsidRDefault="00C96F41" w:rsidP="00C96F41">
      <w:pPr>
        <w:pStyle w:val="Web"/>
        <w:spacing w:before="0" w:beforeAutospacing="0" w:line="432" w:lineRule="atLeast"/>
        <w:rPr>
          <w:rFonts w:ascii="Noto Sans TC" w:eastAsia="Noto Sans TC" w:hAnsi="Noto Sans TC"/>
          <w:color w:val="202020"/>
        </w:rPr>
      </w:pPr>
      <w:r>
        <w:rPr>
          <w:rStyle w:val="a3"/>
          <w:rFonts w:ascii="Noto Sans TC" w:eastAsia="Noto Sans TC" w:hAnsi="Noto Sans TC" w:hint="eastAsia"/>
          <w:color w:val="202020"/>
        </w:rPr>
        <w:t>2.審題:</w:t>
      </w:r>
    </w:p>
    <w:p w14:paraId="6EBB8EBD" w14:textId="77777777" w:rsidR="00C96F41" w:rsidRDefault="00C96F41" w:rsidP="004109EF">
      <w:pPr>
        <w:pStyle w:val="Web"/>
        <w:spacing w:before="0" w:beforeAutospacing="0" w:after="0" w:afterAutospacing="0" w:line="432" w:lineRule="atLeast"/>
        <w:rPr>
          <w:rFonts w:ascii="Noto Sans TC" w:eastAsia="Noto Sans TC" w:hAnsi="Noto Sans TC"/>
          <w:color w:val="202020"/>
        </w:rPr>
      </w:pPr>
      <w:r>
        <w:rPr>
          <w:rStyle w:val="a3"/>
          <w:rFonts w:ascii="Noto Sans TC" w:eastAsia="Noto Sans TC" w:hAnsi="Noto Sans TC" w:hint="eastAsia"/>
          <w:color w:val="202020"/>
        </w:rPr>
        <w:t>   </w:t>
      </w:r>
      <w:r>
        <w:rPr>
          <w:rFonts w:ascii="Noto Sans TC" w:eastAsia="Noto Sans TC" w:hAnsi="Noto Sans TC" w:hint="eastAsia"/>
          <w:color w:val="202020"/>
        </w:rPr>
        <w:t>(1)由學年老師負責出題。</w:t>
      </w:r>
    </w:p>
    <w:p w14:paraId="2C5FD263" w14:textId="77777777" w:rsidR="00C96F41" w:rsidRDefault="00C96F41" w:rsidP="004109EF">
      <w:pPr>
        <w:pStyle w:val="Web"/>
        <w:spacing w:before="0" w:beforeAutospacing="0" w:after="0" w:afterAutospacing="0" w:line="432" w:lineRule="atLeast"/>
        <w:ind w:rightChars="-150" w:right="-360"/>
        <w:rPr>
          <w:rFonts w:ascii="Noto Sans TC" w:eastAsia="Noto Sans TC" w:hAnsi="Noto Sans TC"/>
          <w:color w:val="202020"/>
        </w:rPr>
      </w:pPr>
      <w:r>
        <w:rPr>
          <w:rFonts w:ascii="Noto Sans TC" w:eastAsia="Noto Sans TC" w:hAnsi="Noto Sans TC" w:hint="eastAsia"/>
          <w:color w:val="202020"/>
        </w:rPr>
        <w:t>   (2)務必請每一位學年老師共同審題(依審題單細項逐 一檢視)並完成審題單簽名。</w:t>
      </w:r>
    </w:p>
    <w:p w14:paraId="7316DED4" w14:textId="77777777" w:rsidR="00C96F41" w:rsidRDefault="00C96F41" w:rsidP="004109EF">
      <w:pPr>
        <w:pStyle w:val="Web"/>
        <w:spacing w:before="0" w:beforeAutospacing="0" w:after="0" w:afterAutospacing="0" w:line="432" w:lineRule="atLeast"/>
        <w:rPr>
          <w:rFonts w:ascii="Noto Sans TC" w:eastAsia="Noto Sans TC" w:hAnsi="Noto Sans TC"/>
          <w:color w:val="202020"/>
        </w:rPr>
      </w:pPr>
      <w:r>
        <w:rPr>
          <w:rFonts w:ascii="Noto Sans TC" w:eastAsia="Noto Sans TC" w:hAnsi="Noto Sans TC" w:hint="eastAsia"/>
          <w:color w:val="202020"/>
        </w:rPr>
        <w:t>   (3)學年主任再次確認</w:t>
      </w:r>
    </w:p>
    <w:p w14:paraId="4F6F5411" w14:textId="2D0DA7ED" w:rsidR="00C96F41" w:rsidRDefault="00C96F41" w:rsidP="004109EF">
      <w:pPr>
        <w:pStyle w:val="Web"/>
        <w:spacing w:before="0" w:beforeAutospacing="0" w:after="0" w:afterAutospacing="0" w:line="432" w:lineRule="atLeast"/>
        <w:rPr>
          <w:rFonts w:ascii="Noto Sans TC" w:eastAsia="Noto Sans TC" w:hAnsi="Noto Sans TC"/>
          <w:color w:val="202020"/>
        </w:rPr>
      </w:pPr>
      <w:r>
        <w:rPr>
          <w:rFonts w:ascii="Noto Sans TC" w:eastAsia="Noto Sans TC" w:hAnsi="Noto Sans TC" w:hint="eastAsia"/>
          <w:color w:val="202020"/>
        </w:rPr>
        <w:t>   (4)交由教</w:t>
      </w:r>
      <w:r w:rsidR="00A12E20">
        <w:rPr>
          <w:rFonts w:ascii="Noto Sans TC" w:eastAsia="Noto Sans TC" w:hAnsi="Noto Sans TC" w:hint="eastAsia"/>
          <w:color w:val="202020"/>
        </w:rPr>
        <w:t>務</w:t>
      </w:r>
      <w:r>
        <w:rPr>
          <w:rFonts w:ascii="Noto Sans TC" w:eastAsia="Noto Sans TC" w:hAnsi="Noto Sans TC" w:hint="eastAsia"/>
          <w:color w:val="202020"/>
        </w:rPr>
        <w:t>組長、教</w:t>
      </w:r>
      <w:r w:rsidR="00A12E20">
        <w:rPr>
          <w:rFonts w:ascii="Noto Sans TC" w:eastAsia="Noto Sans TC" w:hAnsi="Noto Sans TC" w:hint="eastAsia"/>
          <w:color w:val="202020"/>
        </w:rPr>
        <w:t>導</w:t>
      </w:r>
      <w:r>
        <w:rPr>
          <w:rFonts w:ascii="Noto Sans TC" w:eastAsia="Noto Sans TC" w:hAnsi="Noto Sans TC" w:hint="eastAsia"/>
          <w:color w:val="202020"/>
        </w:rPr>
        <w:t>主任最後檢查。</w:t>
      </w:r>
    </w:p>
    <w:p w14:paraId="7CF8DD20" w14:textId="3AC43207" w:rsidR="00C96F41" w:rsidRDefault="00C96F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  <w:r>
        <w:rPr>
          <w:rFonts w:ascii="Noto Sans TC" w:eastAsia="Noto Sans TC" w:hAnsi="Noto Sans TC" w:hint="eastAsia"/>
          <w:color w:val="202020"/>
        </w:rPr>
        <w:t>(相關資訊詳如</w:t>
      </w:r>
      <w:r w:rsidR="004109EF">
        <w:rPr>
          <w:rFonts w:ascii="Noto Sans TC" w:eastAsia="Noto Sans TC" w:hAnsi="Noto Sans TC" w:hint="eastAsia"/>
          <w:color w:val="202020"/>
        </w:rPr>
        <w:t>:1</w:t>
      </w:r>
      <w:r w:rsidR="004109EF">
        <w:rPr>
          <w:rFonts w:ascii="Noto Sans TC" w:eastAsia="Noto Sans TC" w:hAnsi="Noto Sans TC"/>
          <w:color w:val="202020"/>
        </w:rPr>
        <w:t>14</w:t>
      </w:r>
      <w:r w:rsidR="004109EF">
        <w:rPr>
          <w:rFonts w:ascii="Noto Sans TC" w:eastAsia="Noto Sans TC" w:hAnsi="Noto Sans TC" w:hint="eastAsia"/>
          <w:color w:val="202020"/>
        </w:rPr>
        <w:t>年5月2</w:t>
      </w:r>
      <w:r w:rsidR="004109EF">
        <w:rPr>
          <w:rFonts w:ascii="Noto Sans TC" w:eastAsia="Noto Sans TC" w:hAnsi="Noto Sans TC"/>
          <w:color w:val="202020"/>
        </w:rPr>
        <w:t>7</w:t>
      </w:r>
      <w:r w:rsidR="004109EF">
        <w:rPr>
          <w:rFonts w:ascii="Noto Sans TC" w:eastAsia="Noto Sans TC" w:hAnsi="Noto Sans TC" w:hint="eastAsia"/>
          <w:color w:val="202020"/>
        </w:rPr>
        <w:t>日公文</w:t>
      </w:r>
      <w:r w:rsidR="004109EF">
        <w:rPr>
          <w:rFonts w:ascii="TW-Kai-98_1" w:eastAsia="TW-Kai-98_1" w:cs="TW-Kai-98_1" w:hint="eastAsia"/>
        </w:rPr>
        <w:t>桃教中字第</w:t>
      </w:r>
      <w:r w:rsidR="004109EF">
        <w:rPr>
          <w:rFonts w:ascii="TW-Kai-98_1" w:eastAsia="TW-Kai-98_1" w:cs="TW-Kai-98_1"/>
        </w:rPr>
        <w:t>1140047429</w:t>
      </w:r>
      <w:r w:rsidR="004109EF">
        <w:rPr>
          <w:rFonts w:ascii="TW-Kai-98_1" w:eastAsia="TW-Kai-98_1" w:cs="TW-Kai-98_1" w:hint="eastAsia"/>
        </w:rPr>
        <w:t>號</w:t>
      </w:r>
      <w:r>
        <w:rPr>
          <w:rFonts w:ascii="Noto Sans TC" w:eastAsia="Noto Sans TC" w:hAnsi="Noto Sans TC" w:hint="eastAsia"/>
          <w:color w:val="202020"/>
        </w:rPr>
        <w:t>)</w:t>
      </w:r>
    </w:p>
    <w:p w14:paraId="13C00034" w14:textId="47D478AC" w:rsidR="00C10141" w:rsidRDefault="00C101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</w:p>
    <w:p w14:paraId="3D2637A6" w14:textId="7E31BAFC" w:rsidR="00C10141" w:rsidRDefault="00C101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</w:p>
    <w:p w14:paraId="54DF5406" w14:textId="16A75B66" w:rsidR="00C10141" w:rsidRDefault="00C101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</w:p>
    <w:p w14:paraId="2D6A1D24" w14:textId="5AECB3AF" w:rsidR="00C10141" w:rsidRDefault="00C101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</w:p>
    <w:p w14:paraId="45B636F6" w14:textId="7A6754E7" w:rsidR="00C10141" w:rsidRDefault="00C10141" w:rsidP="00C96F41">
      <w:pPr>
        <w:pStyle w:val="Web"/>
        <w:spacing w:before="0" w:beforeAutospacing="0" w:line="432" w:lineRule="atLeast"/>
        <w:ind w:left="360"/>
        <w:rPr>
          <w:rFonts w:ascii="Noto Sans TC" w:eastAsia="Noto Sans TC" w:hAnsi="Noto Sans TC"/>
          <w:color w:val="202020"/>
        </w:rPr>
      </w:pPr>
    </w:p>
    <w:p w14:paraId="4B285AC2" w14:textId="77777777" w:rsidR="00C10141" w:rsidRPr="00BF7BC5" w:rsidRDefault="00C10141" w:rsidP="00C10141">
      <w:pPr>
        <w:ind w:left="-29" w:firstLine="12"/>
        <w:jc w:val="center"/>
        <w:rPr>
          <w:sz w:val="28"/>
          <w:szCs w:val="28"/>
        </w:rPr>
      </w:pPr>
      <w:r w:rsidRPr="00BF7BC5">
        <w:rPr>
          <w:rFonts w:ascii="標楷體" w:eastAsia="標楷體" w:hAnsi="標楷體" w:hint="eastAsia"/>
          <w:b/>
          <w:sz w:val="28"/>
          <w:szCs w:val="28"/>
        </w:rPr>
        <w:lastRenderedPageBreak/>
        <w:t>桃園市觀音區育仁</w:t>
      </w:r>
      <w:r w:rsidRPr="00BF7BC5">
        <w:rPr>
          <w:rFonts w:ascii="標楷體" w:eastAsia="標楷體" w:hAnsi="標楷體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民</w:t>
      </w:r>
      <w:r w:rsidRPr="00BF7BC5"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BF7BC5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BF7BC5">
        <w:rPr>
          <w:rFonts w:ascii="標楷體" w:eastAsia="標楷體" w:hAnsi="標楷體"/>
          <w:b/>
          <w:sz w:val="28"/>
          <w:szCs w:val="28"/>
        </w:rPr>
        <w:t>學年度第</w:t>
      </w:r>
      <w:r w:rsidRPr="00BF7BC5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BF7BC5">
        <w:rPr>
          <w:rFonts w:ascii="標楷體" w:eastAsia="標楷體" w:hAnsi="標楷體"/>
          <w:b/>
          <w:sz w:val="28"/>
          <w:szCs w:val="28"/>
        </w:rPr>
        <w:t>學期</w:t>
      </w:r>
      <w:r w:rsidRPr="00BF7BC5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BF7BC5">
        <w:rPr>
          <w:rFonts w:ascii="標楷體" w:eastAsia="標楷體" w:hAnsi="標楷體"/>
          <w:b/>
          <w:sz w:val="28"/>
          <w:szCs w:val="28"/>
        </w:rPr>
        <w:t>年級</w:t>
      </w:r>
      <w:r w:rsidRPr="00BF7BC5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BF7BC5">
        <w:rPr>
          <w:rFonts w:ascii="標楷體" w:eastAsia="標楷體" w:hAnsi="標楷體"/>
          <w:b/>
          <w:sz w:val="28"/>
          <w:szCs w:val="28"/>
        </w:rPr>
        <w:t>領域</w:t>
      </w:r>
    </w:p>
    <w:p w14:paraId="662E98D8" w14:textId="77777777" w:rsidR="00C10141" w:rsidRPr="00BF7BC5" w:rsidRDefault="00C10141" w:rsidP="00C10141">
      <w:pPr>
        <w:ind w:left="-29" w:firstLine="12"/>
        <w:jc w:val="center"/>
        <w:rPr>
          <w:rFonts w:ascii="標楷體" w:eastAsia="標楷體" w:hAnsi="標楷體"/>
          <w:b/>
          <w:sz w:val="28"/>
          <w:szCs w:val="28"/>
        </w:rPr>
      </w:pPr>
      <w:r w:rsidRPr="00BF7BC5">
        <w:rPr>
          <w:rFonts w:ascii="標楷體" w:eastAsia="標楷體" w:hAnsi="標楷體"/>
          <w:b/>
          <w:sz w:val="28"/>
          <w:szCs w:val="28"/>
        </w:rPr>
        <w:t>第___次定期評量</w:t>
      </w:r>
      <w:bookmarkStart w:id="1" w:name="OLE_LINK63"/>
      <w:bookmarkStart w:id="2" w:name="OLE_LINK64"/>
      <w:bookmarkStart w:id="3" w:name="OLE_LINK65"/>
      <w:r w:rsidRPr="00BF7BC5">
        <w:rPr>
          <w:rFonts w:ascii="標楷體" w:eastAsia="標楷體" w:hAnsi="標楷體"/>
          <w:b/>
          <w:sz w:val="28"/>
          <w:szCs w:val="28"/>
        </w:rPr>
        <w:t>審題分析表</w:t>
      </w:r>
      <w:bookmarkEnd w:id="1"/>
      <w:bookmarkEnd w:id="2"/>
      <w:bookmarkEnd w:id="3"/>
    </w:p>
    <w:tbl>
      <w:tblPr>
        <w:tblW w:w="5256" w:type="pct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4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5"/>
        <w:gridCol w:w="1276"/>
        <w:gridCol w:w="1418"/>
        <w:gridCol w:w="1121"/>
      </w:tblGrid>
      <w:tr w:rsidR="00C10141" w14:paraId="3CAB7574" w14:textId="77777777" w:rsidTr="00C10141">
        <w:trPr>
          <w:trHeight w:val="494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A848A" w14:textId="77777777" w:rsidR="00C10141" w:rsidRDefault="00C10141" w:rsidP="00E53A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一、</w:t>
            </w:r>
            <w:r>
              <w:rPr>
                <w:rFonts w:ascii="標楷體" w:eastAsia="標楷體" w:hAnsi="標楷體"/>
              </w:rPr>
              <w:t>命題</w:t>
            </w:r>
            <w:r>
              <w:rPr>
                <w:rFonts w:ascii="標楷體" w:eastAsia="標楷體" w:hAnsi="標楷體" w:cs="新細明體"/>
                <w:kern w:val="0"/>
              </w:rPr>
              <w:t xml:space="preserve">科目：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  <w:tr w:rsidR="00C10141" w14:paraId="74D8BBE3" w14:textId="77777777" w:rsidTr="00C10141">
        <w:trPr>
          <w:trHeight w:val="511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5BC62" w14:textId="77777777" w:rsidR="00C10141" w:rsidRDefault="00C10141" w:rsidP="00E53A2B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 w:cs="新細明體" w:hint="eastAsia"/>
                <w:kern w:val="0"/>
              </w:rPr>
              <w:t>命題</w:t>
            </w:r>
            <w:r>
              <w:rPr>
                <w:rFonts w:ascii="標楷體" w:eastAsia="標楷體" w:hAnsi="標楷體"/>
              </w:rPr>
              <w:t>範圍：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</w:t>
            </w:r>
          </w:p>
        </w:tc>
      </w:tr>
      <w:tr w:rsidR="00C10141" w14:paraId="3A2C82F5" w14:textId="77777777" w:rsidTr="00C10141">
        <w:trPr>
          <w:trHeight w:val="505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EDD3" w14:textId="77777777" w:rsidR="00C10141" w:rsidRDefault="00C10141" w:rsidP="00E53A2B">
            <w:pPr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三、命題教師：   </w:t>
            </w:r>
          </w:p>
        </w:tc>
      </w:tr>
      <w:tr w:rsidR="00C10141" w14:paraId="779C7ACD" w14:textId="77777777" w:rsidTr="00C10141">
        <w:trPr>
          <w:trHeight w:val="351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8B989" w14:textId="62323F97" w:rsidR="00C10141" w:rsidRPr="00BF7BC5" w:rsidRDefault="00C10141" w:rsidP="00E53A2B">
            <w:pPr>
              <w:spacing w:line="360" w:lineRule="atLeast"/>
            </w:pPr>
            <w:bookmarkStart w:id="4" w:name="OLE_LINK55"/>
            <w:bookmarkStart w:id="5" w:name="OLE_LINK56"/>
            <w:bookmarkStart w:id="6" w:name="OLE_LINK57"/>
            <w:r>
              <w:rPr>
                <w:rFonts w:ascii="標楷體" w:eastAsia="標楷體" w:hAnsi="標楷體" w:hint="eastAsia"/>
                <w:b/>
                <w:kern w:val="0"/>
              </w:rPr>
              <w:t>◎</w:t>
            </w:r>
            <w:r w:rsidRPr="005F22E4">
              <w:rPr>
                <w:rFonts w:ascii="標楷體" w:eastAsia="標楷體" w:hAnsi="標楷體" w:hint="eastAsia"/>
                <w:b/>
                <w:kern w:val="0"/>
              </w:rPr>
              <w:t>審題分析表</w:t>
            </w:r>
            <w:r>
              <w:rPr>
                <w:rFonts w:ascii="標楷體" w:eastAsia="標楷體" w:hAnsi="標楷體" w:hint="eastAsia"/>
                <w:b/>
                <w:kern w:val="0"/>
              </w:rPr>
              <w:t xml:space="preserve">項目 </w:t>
            </w:r>
            <w:bookmarkEnd w:id="4"/>
            <w:bookmarkEnd w:id="5"/>
            <w:bookmarkEnd w:id="6"/>
            <w:r>
              <w:rPr>
                <w:rFonts w:ascii="標楷體" w:eastAsia="標楷體" w:hAnsi="標楷體" w:hint="eastAsia"/>
                <w:b/>
              </w:rPr>
              <w:t>(有符合請打ˇ)</w:t>
            </w:r>
          </w:p>
        </w:tc>
        <w:tc>
          <w:tcPr>
            <w:tcW w:w="676" w:type="pct"/>
          </w:tcPr>
          <w:p w14:paraId="5BE29003" w14:textId="77777777" w:rsidR="00C10141" w:rsidRDefault="00C10141" w:rsidP="00E53A2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命題者自評</w:t>
            </w:r>
          </w:p>
        </w:tc>
        <w:tc>
          <w:tcPr>
            <w:tcW w:w="751" w:type="pct"/>
          </w:tcPr>
          <w:p w14:paraId="1DBBBBBA" w14:textId="77777777" w:rsidR="00C10141" w:rsidRDefault="00C10141" w:rsidP="00E53A2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同儕互評</w:t>
            </w:r>
          </w:p>
        </w:tc>
        <w:tc>
          <w:tcPr>
            <w:tcW w:w="594" w:type="pct"/>
          </w:tcPr>
          <w:p w14:paraId="461D92FB" w14:textId="77777777" w:rsidR="00C10141" w:rsidRDefault="00C10141" w:rsidP="00E53A2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C10141" w14:paraId="4A3E2E58" w14:textId="77777777" w:rsidTr="00C10141">
        <w:trPr>
          <w:trHeight w:val="368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FFF96" w14:textId="77777777" w:rsidR="00C10141" w:rsidRPr="00C10141" w:rsidRDefault="00C10141" w:rsidP="00E53A2B">
            <w:pPr>
              <w:spacing w:line="360" w:lineRule="atLeast"/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1.命題時能依據教學內容設計命題，坊間出版社之試題僅供參考，未直接引用。</w:t>
            </w:r>
          </w:p>
        </w:tc>
        <w:tc>
          <w:tcPr>
            <w:tcW w:w="676" w:type="pct"/>
          </w:tcPr>
          <w:p w14:paraId="6B9CF3BB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7F3F4FC1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3AE3A503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0123B5E1" w14:textId="77777777" w:rsidTr="00C10141">
        <w:trPr>
          <w:trHeight w:val="625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4C008" w14:textId="77777777" w:rsidR="00C10141" w:rsidRPr="00C10141" w:rsidRDefault="00C10141" w:rsidP="00E53A2B">
            <w:pPr>
              <w:spacing w:line="360" w:lineRule="atLeast"/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試題取材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有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依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每單元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適當分配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  <w:tc>
          <w:tcPr>
            <w:tcW w:w="676" w:type="pct"/>
          </w:tcPr>
          <w:p w14:paraId="55C7D97B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6EEF3712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6A20A340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2306D65B" w14:textId="77777777" w:rsidTr="00C10141">
        <w:trPr>
          <w:trHeight w:val="458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5343B" w14:textId="77777777" w:rsidR="00C10141" w:rsidRPr="00C10141" w:rsidRDefault="00C10141" w:rsidP="00E53A2B">
            <w:pPr>
              <w:spacing w:line="360" w:lineRule="atLeast"/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3.試題字體、大小、圖示，注音符號等，均能配合該年級學生之程度需求。</w:t>
            </w:r>
          </w:p>
        </w:tc>
        <w:tc>
          <w:tcPr>
            <w:tcW w:w="676" w:type="pct"/>
          </w:tcPr>
          <w:p w14:paraId="2CB19DD1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35002CD3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62C46295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74BF63A2" w14:textId="77777777" w:rsidTr="00C10141">
        <w:trPr>
          <w:trHeight w:val="495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2DEF" w14:textId="77777777" w:rsidR="00C10141" w:rsidRPr="00C10141" w:rsidRDefault="00C10141" w:rsidP="00E53A2B">
            <w:pPr>
              <w:spacing w:line="360" w:lineRule="atLeast"/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4.題目難易度兼顧，避免全面偏向艱澀或過易。</w:t>
            </w:r>
          </w:p>
        </w:tc>
        <w:tc>
          <w:tcPr>
            <w:tcW w:w="676" w:type="pct"/>
          </w:tcPr>
          <w:p w14:paraId="16A1119A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3C2D0A60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26F3DF04" w14:textId="77777777" w:rsidR="00C10141" w:rsidRPr="00966898" w:rsidRDefault="00C10141" w:rsidP="00E53A2B">
            <w:pPr>
              <w:spacing w:line="360" w:lineRule="atLeast"/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059132D5" w14:textId="77777777" w:rsidTr="00C10141">
        <w:trPr>
          <w:trHeight w:val="407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2D1E" w14:textId="77777777" w:rsidR="00C10141" w:rsidRPr="00C10141" w:rsidRDefault="00C10141" w:rsidP="00E53A2B">
            <w:pPr>
              <w:ind w:leftChars="44" w:left="363" w:hangingChars="117" w:hanging="257"/>
              <w:rPr>
                <w:rFonts w:ascii="標楷體" w:eastAsia="標楷體" w:hAnsi="標楷體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5.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各個試題彼此獨立，沒有包含其他試題正確答案之線索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  <w:tc>
          <w:tcPr>
            <w:tcW w:w="676" w:type="pct"/>
          </w:tcPr>
          <w:p w14:paraId="50F5CE0F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00EF0087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6BF3DDCF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1BDC46EF" w14:textId="77777777" w:rsidTr="00C10141">
        <w:trPr>
          <w:trHeight w:val="524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7D24C" w14:textId="77777777" w:rsidR="00C10141" w:rsidRPr="00C10141" w:rsidRDefault="00C10141" w:rsidP="00E53A2B">
            <w:pPr>
              <w:ind w:leftChars="44" w:left="363" w:hangingChars="117" w:hanging="257"/>
              <w:rPr>
                <w:rFonts w:ascii="標楷體" w:eastAsia="標楷體" w:hAnsi="標楷體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6.題型多元，能依該科別之特性設計不同題型（是非、選擇、填空、計算、聽力、題組、非選擇題型等）。</w:t>
            </w:r>
          </w:p>
        </w:tc>
        <w:tc>
          <w:tcPr>
            <w:tcW w:w="676" w:type="pct"/>
          </w:tcPr>
          <w:p w14:paraId="7A2B7AEF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71180E0B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42DFB980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4ED68076" w14:textId="77777777" w:rsidTr="00C10141">
        <w:trPr>
          <w:trHeight w:val="545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9F3B9" w14:textId="77777777" w:rsidR="00C10141" w:rsidRPr="00C10141" w:rsidRDefault="00C10141" w:rsidP="00E53A2B">
            <w:pPr>
              <w:ind w:leftChars="44" w:left="363" w:hangingChars="117" w:hanging="257"/>
              <w:rPr>
                <w:rFonts w:ascii="標楷體" w:eastAsia="標楷體" w:hAnsi="標楷體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7.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試題的設計是否依據教材內容及其知識結構來制定？</w:t>
            </w:r>
          </w:p>
        </w:tc>
        <w:tc>
          <w:tcPr>
            <w:tcW w:w="676" w:type="pct"/>
          </w:tcPr>
          <w:p w14:paraId="6927E32F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3A438054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4A9EF2D4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5996363A" w14:textId="77777777" w:rsidTr="00C10141">
        <w:trPr>
          <w:trHeight w:val="491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B19B8" w14:textId="77777777" w:rsidR="00C10141" w:rsidRPr="00C10141" w:rsidRDefault="00C10141" w:rsidP="00E53A2B">
            <w:pPr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8.試卷抬頭是否正確? (範例在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  <w:bdr w:val="single" w:sz="4" w:space="0" w:color="auto"/>
              </w:rPr>
              <w:t>全校共用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→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  <w:bdr w:val="single" w:sz="4" w:space="0" w:color="auto"/>
              </w:rPr>
              <w:t>段考互審表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)</w:t>
            </w:r>
          </w:p>
        </w:tc>
        <w:tc>
          <w:tcPr>
            <w:tcW w:w="676" w:type="pct"/>
          </w:tcPr>
          <w:p w14:paraId="42E65C12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1A66E92C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790BED29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68E8DF7D" w14:textId="77777777" w:rsidTr="00C10141">
        <w:trPr>
          <w:trHeight w:val="491"/>
          <w:jc w:val="center"/>
        </w:trPr>
        <w:tc>
          <w:tcPr>
            <w:tcW w:w="297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B447B" w14:textId="77777777" w:rsidR="00C10141" w:rsidRPr="00C10141" w:rsidRDefault="00C10141" w:rsidP="00E53A2B">
            <w:pPr>
              <w:ind w:leftChars="44" w:left="363" w:hangingChars="117" w:hanging="257"/>
              <w:rPr>
                <w:rFonts w:ascii="標楷體" w:eastAsia="標楷體" w:hAnsi="標楷體"/>
                <w:kern w:val="0"/>
                <w:sz w:val="22"/>
              </w:rPr>
            </w:pP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9.</w:t>
            </w:r>
            <w:r w:rsidRPr="00C10141">
              <w:rPr>
                <w:rFonts w:ascii="標楷體" w:eastAsia="標楷體" w:hAnsi="標楷體"/>
                <w:kern w:val="0"/>
                <w:sz w:val="22"/>
              </w:rPr>
              <w:t>配分是否正確無誤？</w:t>
            </w:r>
            <w:r w:rsidRPr="00C10141">
              <w:rPr>
                <w:rFonts w:ascii="標楷體" w:eastAsia="標楷體" w:hAnsi="標楷體" w:hint="eastAsia"/>
                <w:kern w:val="0"/>
                <w:sz w:val="22"/>
              </w:rPr>
              <w:t>(滿分100分)</w:t>
            </w:r>
          </w:p>
        </w:tc>
        <w:tc>
          <w:tcPr>
            <w:tcW w:w="676" w:type="pct"/>
          </w:tcPr>
          <w:p w14:paraId="2F6F14BA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1" w:type="pct"/>
          </w:tcPr>
          <w:p w14:paraId="537AE8BA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4" w:type="pct"/>
          </w:tcPr>
          <w:p w14:paraId="2D3F1A83" w14:textId="77777777" w:rsidR="00C10141" w:rsidRPr="00966898" w:rsidRDefault="00C10141" w:rsidP="00E53A2B">
            <w:pPr>
              <w:ind w:leftChars="163" w:left="816" w:hangingChars="177" w:hanging="425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408DFB42" w14:textId="77777777" w:rsidTr="00C10141">
        <w:trPr>
          <w:trHeight w:val="491"/>
          <w:jc w:val="center"/>
        </w:trPr>
        <w:tc>
          <w:tcPr>
            <w:tcW w:w="3655" w:type="pct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2BEB0" w14:textId="1043087A" w:rsidR="00C10141" w:rsidRDefault="00C10141" w:rsidP="00C10141">
            <w:pPr>
              <w:ind w:leftChars="78" w:left="187"/>
              <w:rPr>
                <w:rFonts w:ascii="標楷體" w:eastAsia="標楷體" w:hAnsi="標楷體"/>
                <w:kern w:val="0"/>
              </w:rPr>
            </w:pPr>
            <w:r w:rsidRPr="005F22E4">
              <w:rPr>
                <w:rFonts w:ascii="標楷體" w:eastAsia="標楷體" w:hAnsi="標楷體"/>
                <w:kern w:val="0"/>
              </w:rPr>
              <w:t>命題</w:t>
            </w:r>
            <w:r>
              <w:rPr>
                <w:rFonts w:ascii="標楷體" w:eastAsia="標楷體" w:hAnsi="標楷體" w:hint="eastAsia"/>
                <w:kern w:val="0"/>
              </w:rPr>
              <w:t>老師</w:t>
            </w:r>
            <w:r w:rsidRPr="005F22E4">
              <w:rPr>
                <w:rFonts w:ascii="標楷體" w:eastAsia="標楷體" w:hAnsi="標楷體"/>
                <w:kern w:val="0"/>
              </w:rPr>
              <w:t>簽名</w:t>
            </w:r>
          </w:p>
          <w:p w14:paraId="506F8909" w14:textId="77777777" w:rsidR="00C10141" w:rsidRDefault="00C10141" w:rsidP="00E53A2B">
            <w:pPr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345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1E8ECDE" w14:textId="77777777" w:rsidR="00C10141" w:rsidRDefault="00C10141" w:rsidP="00E53A2B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審題老師簽名</w:t>
            </w:r>
          </w:p>
          <w:p w14:paraId="3FD3EF3E" w14:textId="77777777" w:rsidR="00C10141" w:rsidRDefault="00C10141" w:rsidP="00E53A2B">
            <w:pPr>
              <w:ind w:leftChars="78" w:left="187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10141" w14:paraId="1A9BF036" w14:textId="77777777" w:rsidTr="00C10141">
        <w:trPr>
          <w:trHeight w:val="2652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CF5BC" w14:textId="77777777" w:rsidR="00C10141" w:rsidRDefault="00C10141" w:rsidP="00E53A2B">
            <w:pPr>
              <w:spacing w:line="3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綜合意見</w:t>
            </w:r>
            <w:r w:rsidRPr="00966898">
              <w:rPr>
                <w:rFonts w:ascii="標楷體" w:eastAsia="標楷體" w:hAnsi="標楷體"/>
                <w:kern w:val="0"/>
              </w:rPr>
              <w:t>：</w:t>
            </w:r>
          </w:p>
        </w:tc>
      </w:tr>
      <w:tr w:rsidR="00C10141" w14:paraId="1D8D6BD0" w14:textId="77777777" w:rsidTr="00C10141">
        <w:trPr>
          <w:trHeight w:val="1234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B02F5" w14:textId="77777777" w:rsidR="00C10141" w:rsidRDefault="00C10141" w:rsidP="00E53A2B">
            <w:pPr>
              <w:spacing w:line="3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命題老師回饋：</w:t>
            </w:r>
          </w:p>
        </w:tc>
      </w:tr>
    </w:tbl>
    <w:p w14:paraId="559E57DA" w14:textId="5E91270F" w:rsidR="00C10141" w:rsidRPr="00C10141" w:rsidRDefault="00C10141" w:rsidP="00C10141">
      <w:pPr>
        <w:rPr>
          <w:rFonts w:hint="eastAsia"/>
        </w:rPr>
      </w:pPr>
      <w:r>
        <w:rPr>
          <w:rFonts w:ascii="標楷體" w:eastAsia="標楷體" w:hAnsi="標楷體"/>
        </w:rPr>
        <w:t xml:space="preserve"> 教務組：              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教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 xml:space="preserve">主任：     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    校長：        </w:t>
      </w:r>
    </w:p>
    <w:sectPr w:rsidR="00C10141" w:rsidRPr="00C10141" w:rsidSect="00C1014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AC9A" w14:textId="77777777" w:rsidR="007612A2" w:rsidRDefault="007612A2" w:rsidP="004109EF">
      <w:r>
        <w:separator/>
      </w:r>
    </w:p>
  </w:endnote>
  <w:endnote w:type="continuationSeparator" w:id="0">
    <w:p w14:paraId="75AC7C66" w14:textId="77777777" w:rsidR="007612A2" w:rsidRDefault="007612A2" w:rsidP="0041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4E007" w14:textId="77777777" w:rsidR="007612A2" w:rsidRDefault="007612A2" w:rsidP="004109EF">
      <w:r>
        <w:separator/>
      </w:r>
    </w:p>
  </w:footnote>
  <w:footnote w:type="continuationSeparator" w:id="0">
    <w:p w14:paraId="7DE1073C" w14:textId="77777777" w:rsidR="007612A2" w:rsidRDefault="007612A2" w:rsidP="0041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41"/>
    <w:rsid w:val="004109EF"/>
    <w:rsid w:val="004D6C76"/>
    <w:rsid w:val="007612A2"/>
    <w:rsid w:val="00A12E20"/>
    <w:rsid w:val="00C10141"/>
    <w:rsid w:val="00C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A9C1D"/>
  <w15:chartTrackingRefBased/>
  <w15:docId w15:val="{0E91C370-B0B0-49D0-84B5-8634DCDB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6F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96F41"/>
    <w:rPr>
      <w:b/>
      <w:bCs/>
    </w:rPr>
  </w:style>
  <w:style w:type="paragraph" w:styleId="a4">
    <w:name w:val="header"/>
    <w:basedOn w:val="a"/>
    <w:link w:val="a5"/>
    <w:uiPriority w:val="99"/>
    <w:unhideWhenUsed/>
    <w:rsid w:val="0041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育仁國小</cp:lastModifiedBy>
  <cp:revision>2</cp:revision>
  <cp:lastPrinted>2025-05-27T08:01:00Z</cp:lastPrinted>
  <dcterms:created xsi:type="dcterms:W3CDTF">2025-09-01T06:42:00Z</dcterms:created>
  <dcterms:modified xsi:type="dcterms:W3CDTF">2025-09-01T06:42:00Z</dcterms:modified>
</cp:coreProperties>
</file>